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D9C7D" w14:textId="6372486D" w:rsidR="000A7062" w:rsidRDefault="00FA7FEC" w:rsidP="001C7CAB">
      <w:pPr>
        <w:spacing w:before="200" w:line="240" w:lineRule="auto"/>
        <w:contextualSpacing/>
        <w:rPr>
          <w:rFonts w:ascii="Arial" w:hAnsi="Arial" w:cs="Arial"/>
          <w:b/>
          <w:sz w:val="28"/>
          <w:szCs w:val="28"/>
        </w:rPr>
      </w:pPr>
      <w:r w:rsidRPr="00192063">
        <w:rPr>
          <w:rFonts w:ascii="Arial" w:hAnsi="Arial" w:cs="Arial"/>
          <w:b/>
          <w:sz w:val="28"/>
          <w:szCs w:val="28"/>
        </w:rPr>
        <w:t>Environment</w:t>
      </w:r>
      <w:r w:rsidR="006E466A" w:rsidRPr="00192063">
        <w:rPr>
          <w:rFonts w:ascii="Arial" w:hAnsi="Arial" w:cs="Arial"/>
          <w:b/>
          <w:sz w:val="28"/>
          <w:szCs w:val="28"/>
        </w:rPr>
        <w:t xml:space="preserve">, Economy, </w:t>
      </w:r>
      <w:r w:rsidRPr="00192063">
        <w:rPr>
          <w:rFonts w:ascii="Arial" w:hAnsi="Arial" w:cs="Arial"/>
          <w:b/>
          <w:sz w:val="28"/>
          <w:szCs w:val="28"/>
        </w:rPr>
        <w:t xml:space="preserve">Housing </w:t>
      </w:r>
      <w:r w:rsidR="006E466A" w:rsidRPr="00192063">
        <w:rPr>
          <w:rFonts w:ascii="Arial" w:hAnsi="Arial" w:cs="Arial"/>
          <w:b/>
          <w:sz w:val="28"/>
          <w:szCs w:val="28"/>
        </w:rPr>
        <w:t xml:space="preserve">and Transport </w:t>
      </w:r>
      <w:r w:rsidRPr="00192063">
        <w:rPr>
          <w:rFonts w:ascii="Arial" w:hAnsi="Arial" w:cs="Arial"/>
          <w:b/>
          <w:sz w:val="28"/>
          <w:szCs w:val="28"/>
        </w:rPr>
        <w:t xml:space="preserve">Board – report from Cllr </w:t>
      </w:r>
      <w:r w:rsidR="006E466A" w:rsidRPr="00192063">
        <w:rPr>
          <w:rFonts w:ascii="Arial" w:hAnsi="Arial" w:cs="Arial"/>
          <w:b/>
          <w:sz w:val="28"/>
          <w:szCs w:val="28"/>
        </w:rPr>
        <w:t>Peter Box</w:t>
      </w:r>
      <w:r w:rsidR="00113ABE" w:rsidRPr="00192063">
        <w:rPr>
          <w:rFonts w:ascii="Arial" w:hAnsi="Arial" w:cs="Arial"/>
          <w:b/>
          <w:sz w:val="28"/>
          <w:szCs w:val="28"/>
        </w:rPr>
        <w:t xml:space="preserve"> CBE</w:t>
      </w:r>
      <w:r w:rsidRPr="00192063">
        <w:rPr>
          <w:rFonts w:ascii="Arial" w:hAnsi="Arial" w:cs="Arial"/>
          <w:b/>
          <w:sz w:val="28"/>
          <w:szCs w:val="28"/>
        </w:rPr>
        <w:t xml:space="preserve"> (Chair) </w:t>
      </w:r>
    </w:p>
    <w:p w14:paraId="6AA290C0" w14:textId="77777777" w:rsidR="003B2754" w:rsidRPr="00192063" w:rsidRDefault="003B2754" w:rsidP="001C7CAB">
      <w:pPr>
        <w:pStyle w:val="ListParagraph"/>
        <w:spacing w:before="200" w:line="240" w:lineRule="auto"/>
        <w:rPr>
          <w:rFonts w:ascii="Arial" w:hAnsi="Arial" w:cs="Arial"/>
          <w:color w:val="000000"/>
        </w:rPr>
      </w:pPr>
    </w:p>
    <w:p w14:paraId="23E56092" w14:textId="77777777" w:rsidR="00D92E43" w:rsidRPr="00192063" w:rsidRDefault="00D92E43" w:rsidP="001C7CAB">
      <w:pPr>
        <w:pStyle w:val="ListParagraph"/>
        <w:spacing w:before="200" w:line="240" w:lineRule="auto"/>
        <w:ind w:left="0"/>
        <w:rPr>
          <w:rFonts w:ascii="Arial" w:hAnsi="Arial" w:cs="Arial"/>
        </w:rPr>
      </w:pPr>
    </w:p>
    <w:p w14:paraId="63EC99EA" w14:textId="4F19C785" w:rsidR="001D7B9D" w:rsidRPr="00192063" w:rsidRDefault="001D7B9D" w:rsidP="001C7CAB">
      <w:pPr>
        <w:pStyle w:val="ListParagraph"/>
        <w:spacing w:before="200" w:line="240" w:lineRule="auto"/>
        <w:ind w:left="0"/>
        <w:rPr>
          <w:rFonts w:ascii="Arial" w:hAnsi="Arial" w:cs="Arial"/>
          <w:b/>
        </w:rPr>
      </w:pPr>
      <w:r w:rsidRPr="00192063">
        <w:rPr>
          <w:rFonts w:ascii="Arial" w:hAnsi="Arial" w:cs="Arial"/>
          <w:b/>
        </w:rPr>
        <w:t>Infrastructure and growth</w:t>
      </w:r>
    </w:p>
    <w:p w14:paraId="1809E819" w14:textId="77777777" w:rsidR="001D7B9D" w:rsidRPr="00192063" w:rsidRDefault="001D7B9D" w:rsidP="001C7CAB">
      <w:pPr>
        <w:pStyle w:val="ListParagraph"/>
        <w:spacing w:before="200" w:line="240" w:lineRule="auto"/>
        <w:ind w:left="0"/>
        <w:rPr>
          <w:rFonts w:ascii="Arial" w:hAnsi="Arial" w:cs="Arial"/>
          <w:b/>
        </w:rPr>
      </w:pPr>
    </w:p>
    <w:p w14:paraId="5235417C" w14:textId="6B65855A" w:rsidR="0067263E" w:rsidRDefault="001D7B9D" w:rsidP="001C7CAB">
      <w:pPr>
        <w:pStyle w:val="ListParagraph"/>
        <w:numPr>
          <w:ilvl w:val="0"/>
          <w:numId w:val="17"/>
        </w:numPr>
        <w:spacing w:before="200" w:after="240" w:line="240" w:lineRule="auto"/>
        <w:rPr>
          <w:rFonts w:ascii="Arial" w:hAnsi="Arial" w:cs="Arial"/>
        </w:rPr>
      </w:pPr>
      <w:r w:rsidRPr="00192063">
        <w:rPr>
          <w:rFonts w:ascii="Arial" w:hAnsi="Arial" w:cs="Arial"/>
        </w:rPr>
        <w:t>I met with the</w:t>
      </w:r>
      <w:r w:rsidR="0067263E" w:rsidRPr="00192063">
        <w:rPr>
          <w:rFonts w:ascii="Arial" w:hAnsi="Arial" w:cs="Arial"/>
        </w:rPr>
        <w:t xml:space="preserve"> Vi</w:t>
      </w:r>
      <w:r w:rsidRPr="00192063">
        <w:rPr>
          <w:rFonts w:ascii="Arial" w:hAnsi="Arial" w:cs="Arial"/>
        </w:rPr>
        <w:t xml:space="preserve">ce Chair of Resources Portfolio </w:t>
      </w:r>
      <w:r w:rsidR="0067263E" w:rsidRPr="00192063">
        <w:rPr>
          <w:rFonts w:ascii="Arial" w:hAnsi="Arial" w:cs="Arial"/>
        </w:rPr>
        <w:t xml:space="preserve">Cllr John Fuller (Con, South Norfolk) </w:t>
      </w:r>
      <w:r w:rsidRPr="00192063">
        <w:rPr>
          <w:rFonts w:ascii="Arial" w:hAnsi="Arial" w:cs="Arial"/>
        </w:rPr>
        <w:t>on the 24</w:t>
      </w:r>
      <w:r w:rsidRPr="00192063">
        <w:rPr>
          <w:rFonts w:ascii="Arial" w:hAnsi="Arial" w:cs="Arial"/>
          <w:vertAlign w:val="superscript"/>
        </w:rPr>
        <w:t>th</w:t>
      </w:r>
      <w:r w:rsidRPr="00192063">
        <w:rPr>
          <w:rFonts w:ascii="Arial" w:hAnsi="Arial" w:cs="Arial"/>
        </w:rPr>
        <w:t xml:space="preserve"> March to discuss what possibilities exist in making </w:t>
      </w:r>
      <w:r w:rsidR="0067263E" w:rsidRPr="00192063">
        <w:rPr>
          <w:rFonts w:ascii="Arial" w:hAnsi="Arial" w:cs="Arial"/>
        </w:rPr>
        <w:t>links between the areas of commonality in the Environment, Economy, Housing &amp; Transport Board’s work and that of the Resources Portfolio’s work around financing infrastructure and growth (specifically CIL, S106 and the New Homes Bonus).</w:t>
      </w:r>
    </w:p>
    <w:p w14:paraId="008C3260" w14:textId="7B3F74C9" w:rsidR="000F27F8" w:rsidRPr="00192063" w:rsidRDefault="000F27F8" w:rsidP="001C7CAB">
      <w:pPr>
        <w:spacing w:before="200" w:line="240" w:lineRule="auto"/>
        <w:rPr>
          <w:rFonts w:ascii="Arial" w:hAnsi="Arial" w:cs="Arial"/>
          <w:b/>
          <w:bCs/>
        </w:rPr>
      </w:pPr>
      <w:r w:rsidRPr="00192063">
        <w:rPr>
          <w:rFonts w:ascii="Arial" w:hAnsi="Arial" w:cs="Arial"/>
          <w:b/>
          <w:bCs/>
        </w:rPr>
        <w:t>LGA Transport priorities</w:t>
      </w:r>
    </w:p>
    <w:p w14:paraId="1D754BAB" w14:textId="598867B1" w:rsidR="000F27F8" w:rsidRDefault="000F27F8" w:rsidP="001C7CAB">
      <w:pPr>
        <w:pStyle w:val="ListParagraph"/>
        <w:numPr>
          <w:ilvl w:val="0"/>
          <w:numId w:val="17"/>
        </w:numPr>
        <w:spacing w:before="200" w:after="240" w:line="240" w:lineRule="auto"/>
        <w:rPr>
          <w:rFonts w:ascii="Arial" w:hAnsi="Arial" w:cs="Arial"/>
        </w:rPr>
      </w:pPr>
      <w:r w:rsidRPr="00192063">
        <w:rPr>
          <w:rFonts w:ascii="Arial" w:hAnsi="Arial" w:cs="Arial"/>
        </w:rPr>
        <w:t>At the request of the Leadership Board I presented an overview of the EEHT’s Board’s priority areas of work on transport at their meeting on the 6</w:t>
      </w:r>
      <w:r w:rsidRPr="00192063">
        <w:rPr>
          <w:rFonts w:ascii="Arial" w:hAnsi="Arial" w:cs="Arial"/>
          <w:vertAlign w:val="superscript"/>
        </w:rPr>
        <w:t>th</w:t>
      </w:r>
      <w:r w:rsidRPr="00192063">
        <w:rPr>
          <w:rFonts w:ascii="Arial" w:hAnsi="Arial" w:cs="Arial"/>
        </w:rPr>
        <w:t xml:space="preserve"> April. In doing so, I touched upon the devolution agenda, the condition of the highways network, funding challenges and the role and responsibilities of council</w:t>
      </w:r>
      <w:r w:rsidR="001C7CAB">
        <w:rPr>
          <w:rFonts w:ascii="Arial" w:hAnsi="Arial" w:cs="Arial"/>
        </w:rPr>
        <w:t>s’ with regard to air quality. </w:t>
      </w:r>
      <w:r w:rsidRPr="00192063">
        <w:rPr>
          <w:rFonts w:ascii="Arial" w:hAnsi="Arial" w:cs="Arial"/>
        </w:rPr>
        <w:t>Members welcomed the report, endorsing the EEHT Board’s work on transport and highlighting a number of issues for further consideration, including need for a more joined up approach between national infrastructure projects and local transport networks, to keep pressure on Ministers regarding the challenges of working with Network Rail and Highways England and the importance of the Bus Services Bill being beneficial to all areas.</w:t>
      </w:r>
    </w:p>
    <w:p w14:paraId="5331C148" w14:textId="77777777" w:rsidR="001C7CAB" w:rsidRPr="00192063" w:rsidRDefault="001C7CAB" w:rsidP="001C7CAB">
      <w:pPr>
        <w:autoSpaceDE w:val="0"/>
        <w:autoSpaceDN w:val="0"/>
        <w:spacing w:before="200" w:line="240" w:lineRule="auto"/>
        <w:rPr>
          <w:rFonts w:ascii="Arial" w:hAnsi="Arial" w:cs="Arial"/>
          <w:b/>
          <w:lang w:eastAsia="en-GB"/>
        </w:rPr>
      </w:pPr>
      <w:r w:rsidRPr="00192063">
        <w:rPr>
          <w:rFonts w:ascii="Arial" w:hAnsi="Arial" w:cs="Arial"/>
          <w:b/>
          <w:lang w:eastAsia="en-GB"/>
        </w:rPr>
        <w:t>The Buses Bill</w:t>
      </w:r>
    </w:p>
    <w:p w14:paraId="36D0CC29" w14:textId="77777777" w:rsidR="001C7CAB" w:rsidRDefault="001C7CAB" w:rsidP="001C7CAB">
      <w:pPr>
        <w:pStyle w:val="PlainText"/>
        <w:numPr>
          <w:ilvl w:val="0"/>
          <w:numId w:val="17"/>
        </w:numPr>
        <w:spacing w:before="200" w:after="240"/>
      </w:pPr>
      <w:r w:rsidRPr="00192063">
        <w:t>The Queen’s Speech introduced the Bus Services Bill which will allow local authorities the power to improve bus services for the people who use them. Mayoral combined authorities will be given automatic London-style powers to franchise local services. Other areas will need to apply to the Secretary of State to pursue franchising powers and all areas can benefit from enhanced partnership arrangements. Data about routes, fares and times would be made available across the country to developers of apps to give passengers better information about how to make the most of local bus services. The LGA has long called for greater control and influence of local bus provision and so the Bill marks a significant step for councils and their ambition for greater devolution of powers.</w:t>
      </w:r>
    </w:p>
    <w:p w14:paraId="4301D79A" w14:textId="6BA8B145" w:rsidR="00D80F45" w:rsidRPr="00192063" w:rsidRDefault="00D80F45" w:rsidP="001C7CAB">
      <w:pPr>
        <w:spacing w:before="200" w:line="240" w:lineRule="auto"/>
        <w:rPr>
          <w:rFonts w:ascii="Arial" w:hAnsi="Arial" w:cs="Arial"/>
        </w:rPr>
      </w:pPr>
      <w:r w:rsidRPr="00192063">
        <w:rPr>
          <w:rFonts w:ascii="Arial" w:hAnsi="Arial" w:cs="Arial"/>
          <w:b/>
        </w:rPr>
        <w:t>Housing</w:t>
      </w:r>
      <w:r w:rsidR="003D1A36">
        <w:rPr>
          <w:rFonts w:ascii="Arial" w:hAnsi="Arial" w:cs="Arial"/>
          <w:b/>
        </w:rPr>
        <w:t xml:space="preserve"> and Planning</w:t>
      </w:r>
      <w:r w:rsidRPr="00192063">
        <w:rPr>
          <w:rFonts w:ascii="Arial" w:hAnsi="Arial" w:cs="Arial"/>
          <w:b/>
        </w:rPr>
        <w:t xml:space="preserve"> bill</w:t>
      </w:r>
    </w:p>
    <w:p w14:paraId="353D8BE4" w14:textId="5AF5EB36" w:rsidR="00192063" w:rsidRDefault="00D80F45" w:rsidP="001C7CAB">
      <w:pPr>
        <w:pStyle w:val="ListParagraph"/>
        <w:numPr>
          <w:ilvl w:val="0"/>
          <w:numId w:val="17"/>
        </w:numPr>
        <w:spacing w:before="200" w:line="240" w:lineRule="auto"/>
        <w:rPr>
          <w:rFonts w:ascii="Arial" w:hAnsi="Arial" w:cs="Arial"/>
        </w:rPr>
      </w:pPr>
      <w:r w:rsidRPr="00192063">
        <w:rPr>
          <w:rFonts w:ascii="Arial" w:hAnsi="Arial" w:cs="Arial"/>
        </w:rPr>
        <w:t>The Housing and Planning Bill recently received Royal Assent, the Board has spent a lot of time with Members of Parliament to improve the Bill. Following our work with Peers, we were able to secure a number of amendments, including giving councils the ability to grant secure tenancies to families with children, restrictions around the resale of starter homes so that owners cannot ‘cash in’ on the discount only a few years after, changes to the taper rate for pay to stay and time limited pilots on competition in processing planning applications. The Act will still, however, have a significant impact on councils and their communities, the Board will now be working to represent and support councils as government develops regulations to force the sale of council homes, increase rents for some council tenants and build starter homes.</w:t>
      </w:r>
    </w:p>
    <w:p w14:paraId="39AA7276" w14:textId="77777777" w:rsidR="001C7CAB" w:rsidRPr="001C7CAB" w:rsidRDefault="001C7CAB" w:rsidP="001C7CAB">
      <w:pPr>
        <w:pStyle w:val="ListParagraph"/>
        <w:spacing w:before="200" w:line="240" w:lineRule="auto"/>
        <w:rPr>
          <w:rFonts w:ascii="Arial" w:hAnsi="Arial" w:cs="Arial"/>
        </w:rPr>
      </w:pPr>
    </w:p>
    <w:p w14:paraId="71F29279" w14:textId="527CF0A2" w:rsidR="00D80F45" w:rsidRPr="00192063" w:rsidRDefault="00D80F45" w:rsidP="001C7CAB">
      <w:pPr>
        <w:spacing w:before="200" w:line="240" w:lineRule="auto"/>
        <w:rPr>
          <w:rFonts w:ascii="Arial" w:hAnsi="Arial" w:cs="Arial"/>
        </w:rPr>
      </w:pPr>
      <w:r w:rsidRPr="00192063">
        <w:rPr>
          <w:rFonts w:ascii="Arial" w:hAnsi="Arial" w:cs="Arial"/>
          <w:b/>
        </w:rPr>
        <w:lastRenderedPageBreak/>
        <w:t>Housing commission</w:t>
      </w:r>
    </w:p>
    <w:p w14:paraId="19110FA3" w14:textId="52B742B8" w:rsidR="00D80F45" w:rsidRDefault="00D80F45" w:rsidP="001C7CAB">
      <w:pPr>
        <w:pStyle w:val="ListParagraph"/>
        <w:numPr>
          <w:ilvl w:val="0"/>
          <w:numId w:val="17"/>
        </w:numPr>
        <w:autoSpaceDE w:val="0"/>
        <w:autoSpaceDN w:val="0"/>
        <w:spacing w:before="200" w:line="240" w:lineRule="auto"/>
        <w:rPr>
          <w:rFonts w:ascii="Arial" w:hAnsi="Arial" w:cs="Arial"/>
          <w:lang w:eastAsia="en-GB"/>
        </w:rPr>
      </w:pPr>
      <w:r w:rsidRPr="00192063">
        <w:rPr>
          <w:rFonts w:ascii="Arial" w:hAnsi="Arial" w:cs="Arial"/>
          <w:lang w:eastAsia="en-GB"/>
        </w:rPr>
        <w:t xml:space="preserve">The LGA Executive and Leadership Board asked the EEHT board to undertake a commission into the future role of local government in developing housing, and in a way that helps resolve wider public service challenges. The EEHT board has shaped and led the Commission, supported by a group of seven expert advisers. </w:t>
      </w:r>
    </w:p>
    <w:p w14:paraId="3190F6FD" w14:textId="77777777" w:rsidR="00192063" w:rsidRPr="00192063" w:rsidRDefault="00192063" w:rsidP="001C7CAB">
      <w:pPr>
        <w:pStyle w:val="ListParagraph"/>
        <w:autoSpaceDE w:val="0"/>
        <w:autoSpaceDN w:val="0"/>
        <w:spacing w:before="200" w:line="240" w:lineRule="auto"/>
        <w:rPr>
          <w:rFonts w:ascii="Arial" w:hAnsi="Arial" w:cs="Arial"/>
          <w:lang w:eastAsia="en-GB"/>
        </w:rPr>
      </w:pPr>
    </w:p>
    <w:p w14:paraId="4B9E8C20" w14:textId="57A175D3" w:rsidR="00192063" w:rsidRDefault="00D80F45" w:rsidP="001C7CAB">
      <w:pPr>
        <w:pStyle w:val="ListParagraph"/>
        <w:numPr>
          <w:ilvl w:val="0"/>
          <w:numId w:val="17"/>
        </w:numPr>
        <w:autoSpaceDE w:val="0"/>
        <w:autoSpaceDN w:val="0"/>
        <w:spacing w:before="200" w:line="240" w:lineRule="auto"/>
        <w:rPr>
          <w:rFonts w:ascii="Arial" w:hAnsi="Arial" w:cs="Arial"/>
          <w:lang w:eastAsia="en-GB"/>
        </w:rPr>
      </w:pPr>
      <w:r w:rsidRPr="00192063">
        <w:rPr>
          <w:rFonts w:ascii="Arial" w:hAnsi="Arial" w:cs="Arial"/>
          <w:lang w:eastAsia="en-GB"/>
        </w:rPr>
        <w:t>The Commission has built on the findings of previous extensive reviews that have looked at the role of councils in housing, and focused on how local and central government can practically deliver in a way that: drives housebuilding; shapes prosperous communities and places; boosts employment; supports an aging population.</w:t>
      </w:r>
    </w:p>
    <w:p w14:paraId="6306085F" w14:textId="77777777" w:rsidR="00192063" w:rsidRPr="00192063" w:rsidRDefault="00192063" w:rsidP="001C7CAB">
      <w:pPr>
        <w:pStyle w:val="ListParagraph"/>
        <w:spacing w:before="200"/>
        <w:rPr>
          <w:rFonts w:ascii="Arial" w:hAnsi="Arial" w:cs="Arial"/>
          <w:lang w:eastAsia="en-GB"/>
        </w:rPr>
      </w:pPr>
    </w:p>
    <w:p w14:paraId="4575ACC5" w14:textId="7B8947A2" w:rsidR="00D80F45" w:rsidRPr="00192063" w:rsidRDefault="00D80F45" w:rsidP="001C7CAB">
      <w:pPr>
        <w:pStyle w:val="ListParagraph"/>
        <w:numPr>
          <w:ilvl w:val="0"/>
          <w:numId w:val="17"/>
        </w:numPr>
        <w:autoSpaceDE w:val="0"/>
        <w:autoSpaceDN w:val="0"/>
        <w:spacing w:before="200" w:after="240" w:line="240" w:lineRule="auto"/>
        <w:rPr>
          <w:rFonts w:ascii="Arial" w:hAnsi="Arial" w:cs="Arial"/>
          <w:lang w:eastAsia="en-GB"/>
        </w:rPr>
      </w:pPr>
      <w:r w:rsidRPr="00192063">
        <w:rPr>
          <w:rFonts w:ascii="Arial" w:hAnsi="Arial" w:cs="Arial"/>
          <w:lang w:eastAsia="en-GB"/>
        </w:rPr>
        <w:t>The Commission has received around 90 written submissions, has held 4 evidence gathering seminars and visited six councils. It is now developing the emerging recommendations to launch at annual conference, ahead of a full report being launched later in the year.</w:t>
      </w:r>
    </w:p>
    <w:p w14:paraId="3B808AE7" w14:textId="77777777" w:rsidR="001C7CAB" w:rsidRPr="00192063" w:rsidRDefault="001C7CAB" w:rsidP="001C7CAB">
      <w:pPr>
        <w:spacing w:before="200" w:line="240" w:lineRule="auto"/>
        <w:rPr>
          <w:rFonts w:ascii="Arial" w:hAnsi="Arial" w:cs="Arial"/>
          <w:b/>
          <w:bCs/>
        </w:rPr>
      </w:pPr>
      <w:r w:rsidRPr="00192063">
        <w:rPr>
          <w:rFonts w:ascii="Arial" w:hAnsi="Arial" w:cs="Arial"/>
          <w:b/>
          <w:bCs/>
        </w:rPr>
        <w:t>Flooding</w:t>
      </w:r>
    </w:p>
    <w:p w14:paraId="4D5D987C" w14:textId="77777777" w:rsidR="001C7CAB" w:rsidRDefault="001C7CAB" w:rsidP="001C7CAB">
      <w:pPr>
        <w:pStyle w:val="ListParagraph"/>
        <w:numPr>
          <w:ilvl w:val="0"/>
          <w:numId w:val="17"/>
        </w:numPr>
        <w:autoSpaceDE w:val="0"/>
        <w:autoSpaceDN w:val="0"/>
        <w:spacing w:before="200" w:after="240" w:line="240" w:lineRule="auto"/>
        <w:rPr>
          <w:rFonts w:ascii="Arial" w:hAnsi="Arial" w:cs="Arial"/>
        </w:rPr>
      </w:pPr>
      <w:r w:rsidRPr="00192063">
        <w:rPr>
          <w:rFonts w:ascii="Arial" w:hAnsi="Arial" w:cs="Arial"/>
        </w:rPr>
        <w:t xml:space="preserve">The LGA gave oral evidence to the Environment, Food and Rural Affairs Committee inquiry into future flood prevention. Cllr Box met with the </w:t>
      </w:r>
      <w:proofErr w:type="spellStart"/>
      <w:r w:rsidRPr="00192063">
        <w:rPr>
          <w:rFonts w:ascii="Arial" w:hAnsi="Arial" w:cs="Arial"/>
        </w:rPr>
        <w:t>Rt</w:t>
      </w:r>
      <w:proofErr w:type="spellEnd"/>
      <w:r w:rsidRPr="00192063">
        <w:rPr>
          <w:rFonts w:ascii="Arial" w:hAnsi="Arial" w:cs="Arial"/>
        </w:rPr>
        <w:t xml:space="preserve"> Hon Oliver </w:t>
      </w:r>
      <w:proofErr w:type="spellStart"/>
      <w:r w:rsidRPr="00192063">
        <w:rPr>
          <w:rFonts w:ascii="Arial" w:hAnsi="Arial" w:cs="Arial"/>
        </w:rPr>
        <w:t>Letwin</w:t>
      </w:r>
      <w:proofErr w:type="spellEnd"/>
      <w:r w:rsidRPr="00192063">
        <w:rPr>
          <w:rFonts w:ascii="Arial" w:hAnsi="Arial" w:cs="Arial"/>
        </w:rPr>
        <w:t xml:space="preserve"> MP to discuss our submission to the National Resilience Review. This covered a number of areas including increasing flexibility in the current approach to flood defence funding, further incentivising private sector investment in flood defences, allowing areas to use precepts as a mechanism for increasing funding for flood defences and the potential for flood defences to be developed as part of wider infrastructure and economic investment in local areas in the medium to long-term.</w:t>
      </w:r>
    </w:p>
    <w:p w14:paraId="56B969B3" w14:textId="30F34084" w:rsidR="001C7CAB" w:rsidRPr="0080268A" w:rsidRDefault="001C7CAB" w:rsidP="001C7CAB">
      <w:pPr>
        <w:spacing w:before="200"/>
        <w:rPr>
          <w:rFonts w:ascii="Arial" w:hAnsi="Arial" w:cs="Arial"/>
          <w:b/>
          <w:bCs/>
        </w:rPr>
      </w:pPr>
      <w:r w:rsidRPr="0080268A">
        <w:rPr>
          <w:rFonts w:ascii="Arial" w:hAnsi="Arial" w:cs="Arial"/>
          <w:b/>
          <w:bCs/>
        </w:rPr>
        <w:t>Waste</w:t>
      </w:r>
      <w:r w:rsidR="00DA6022">
        <w:rPr>
          <w:rFonts w:ascii="Arial" w:hAnsi="Arial" w:cs="Arial"/>
          <w:b/>
          <w:bCs/>
        </w:rPr>
        <w:t xml:space="preserve"> &amp; recycling</w:t>
      </w:r>
    </w:p>
    <w:p w14:paraId="2E2F3833" w14:textId="33038844" w:rsidR="001C7CAB" w:rsidRDefault="001C7CAB" w:rsidP="001C7CAB">
      <w:pPr>
        <w:pStyle w:val="ListParagraph"/>
        <w:numPr>
          <w:ilvl w:val="0"/>
          <w:numId w:val="17"/>
        </w:numPr>
        <w:spacing w:before="200" w:line="240" w:lineRule="auto"/>
        <w:rPr>
          <w:rFonts w:ascii="Arial" w:hAnsi="Arial" w:cs="Arial"/>
        </w:rPr>
      </w:pPr>
      <w:r w:rsidRPr="001C7CAB">
        <w:rPr>
          <w:rFonts w:ascii="Arial" w:hAnsi="Arial" w:cs="Arial"/>
        </w:rPr>
        <w:t xml:space="preserve">The LGA is working with HMRC and the Treasury to defend the VAT exemption for council commercial waste services in a legal challenge brought by a private waste company. Evidence was submitted to the High Court at the end of April, using expert legal advice and witness statements from the LGA and a number of councils. The High Court hearing will take place in July. </w:t>
      </w:r>
    </w:p>
    <w:p w14:paraId="570E5B30" w14:textId="4FE70099" w:rsidR="00DA6022" w:rsidRPr="00D11346" w:rsidRDefault="00DA6022" w:rsidP="00D11346">
      <w:pPr>
        <w:spacing w:after="0" w:line="240" w:lineRule="auto"/>
        <w:rPr>
          <w:rFonts w:ascii="Arial" w:hAnsi="Arial" w:cs="Arial"/>
        </w:rPr>
      </w:pPr>
      <w:bookmarkStart w:id="0" w:name="_GoBack"/>
      <w:bookmarkEnd w:id="0"/>
      <w:r w:rsidRPr="00D11346">
        <w:rPr>
          <w:rFonts w:ascii="Arial" w:hAnsi="Arial" w:cs="Arial"/>
        </w:rPr>
        <w:t xml:space="preserve">  </w:t>
      </w:r>
    </w:p>
    <w:p w14:paraId="4D79FE25" w14:textId="4B402F97" w:rsidR="00ED6DE1" w:rsidRPr="00192063" w:rsidRDefault="00ED6DE1" w:rsidP="001C7CAB">
      <w:pPr>
        <w:spacing w:before="200" w:line="240" w:lineRule="auto"/>
        <w:rPr>
          <w:rFonts w:ascii="Arial" w:hAnsi="Arial" w:cs="Arial"/>
          <w:b/>
          <w:color w:val="000000"/>
        </w:rPr>
      </w:pPr>
    </w:p>
    <w:tbl>
      <w:tblPr>
        <w:tblW w:w="0" w:type="auto"/>
        <w:tblLook w:val="01E0" w:firstRow="1" w:lastRow="1" w:firstColumn="1" w:lastColumn="1" w:noHBand="0" w:noVBand="0"/>
      </w:tblPr>
      <w:tblGrid>
        <w:gridCol w:w="2760"/>
        <w:gridCol w:w="6266"/>
      </w:tblGrid>
      <w:tr w:rsidR="003B2754" w:rsidRPr="00192063" w14:paraId="51B2F70C" w14:textId="77777777" w:rsidTr="003B2754">
        <w:tc>
          <w:tcPr>
            <w:tcW w:w="2802" w:type="dxa"/>
            <w:hideMark/>
          </w:tcPr>
          <w:p w14:paraId="4D21FC7D" w14:textId="77777777" w:rsidR="003B2754" w:rsidRPr="00192063" w:rsidRDefault="003B2754" w:rsidP="001C7CAB">
            <w:pPr>
              <w:spacing w:after="0" w:line="240" w:lineRule="auto"/>
              <w:ind w:left="360"/>
              <w:jc w:val="both"/>
              <w:rPr>
                <w:rFonts w:ascii="Arial" w:eastAsia="Times New Roman" w:hAnsi="Arial" w:cs="Arial"/>
                <w:lang w:eastAsia="en-GB"/>
              </w:rPr>
            </w:pPr>
            <w:r w:rsidRPr="00192063">
              <w:rPr>
                <w:rFonts w:ascii="Arial" w:eastAsia="Times New Roman" w:hAnsi="Arial" w:cs="Arial"/>
                <w:lang w:eastAsia="en-GB"/>
              </w:rPr>
              <w:t xml:space="preserve">Contact officer:  </w:t>
            </w:r>
          </w:p>
        </w:tc>
        <w:tc>
          <w:tcPr>
            <w:tcW w:w="6378" w:type="dxa"/>
            <w:hideMark/>
          </w:tcPr>
          <w:p w14:paraId="2BE029DE" w14:textId="77777777" w:rsidR="003B2754" w:rsidRPr="00192063" w:rsidRDefault="003B2754" w:rsidP="001C7CAB">
            <w:pPr>
              <w:spacing w:after="0" w:line="240" w:lineRule="auto"/>
              <w:ind w:left="360"/>
              <w:jc w:val="both"/>
              <w:rPr>
                <w:rFonts w:ascii="Arial" w:eastAsia="Times New Roman" w:hAnsi="Arial" w:cs="Arial"/>
                <w:lang w:eastAsia="en-GB"/>
              </w:rPr>
            </w:pPr>
            <w:r w:rsidRPr="00192063">
              <w:rPr>
                <w:rFonts w:ascii="Arial" w:eastAsia="Times New Roman" w:hAnsi="Arial" w:cs="Arial"/>
                <w:lang w:eastAsia="en-GB"/>
              </w:rPr>
              <w:t>Eamon Lally</w:t>
            </w:r>
          </w:p>
        </w:tc>
      </w:tr>
      <w:tr w:rsidR="003B2754" w:rsidRPr="00192063" w14:paraId="61F0F361" w14:textId="77777777" w:rsidTr="003B2754">
        <w:tc>
          <w:tcPr>
            <w:tcW w:w="2802" w:type="dxa"/>
            <w:hideMark/>
          </w:tcPr>
          <w:p w14:paraId="59BC798D" w14:textId="77777777" w:rsidR="003B2754" w:rsidRPr="00192063" w:rsidRDefault="003B2754" w:rsidP="001C7CAB">
            <w:pPr>
              <w:spacing w:after="0" w:line="240" w:lineRule="auto"/>
              <w:ind w:left="360"/>
              <w:jc w:val="both"/>
              <w:rPr>
                <w:rFonts w:ascii="Arial" w:eastAsia="Times New Roman" w:hAnsi="Arial" w:cs="Arial"/>
                <w:lang w:eastAsia="en-GB"/>
              </w:rPr>
            </w:pPr>
            <w:r w:rsidRPr="00192063">
              <w:rPr>
                <w:rFonts w:ascii="Arial" w:eastAsia="Times New Roman" w:hAnsi="Arial" w:cs="Arial"/>
                <w:lang w:eastAsia="en-GB"/>
              </w:rPr>
              <w:t>Position:</w:t>
            </w:r>
          </w:p>
        </w:tc>
        <w:tc>
          <w:tcPr>
            <w:tcW w:w="6378" w:type="dxa"/>
            <w:hideMark/>
          </w:tcPr>
          <w:p w14:paraId="2E8FE92B" w14:textId="77777777" w:rsidR="003B2754" w:rsidRPr="00192063" w:rsidRDefault="003B2754" w:rsidP="001C7CAB">
            <w:pPr>
              <w:spacing w:after="0" w:line="240" w:lineRule="auto"/>
              <w:ind w:left="360"/>
              <w:jc w:val="both"/>
              <w:rPr>
                <w:rFonts w:ascii="Arial" w:eastAsia="Times New Roman" w:hAnsi="Arial" w:cs="Arial"/>
                <w:lang w:eastAsia="en-GB"/>
              </w:rPr>
            </w:pPr>
            <w:r w:rsidRPr="00192063">
              <w:rPr>
                <w:rFonts w:ascii="Arial" w:eastAsia="Times New Roman" w:hAnsi="Arial" w:cs="Arial"/>
                <w:lang w:eastAsia="en-GB"/>
              </w:rPr>
              <w:t>Principal Policy Adviser</w:t>
            </w:r>
          </w:p>
        </w:tc>
      </w:tr>
      <w:tr w:rsidR="003B2754" w:rsidRPr="00192063" w14:paraId="35A055D0" w14:textId="77777777" w:rsidTr="003B2754">
        <w:tc>
          <w:tcPr>
            <w:tcW w:w="2802" w:type="dxa"/>
            <w:hideMark/>
          </w:tcPr>
          <w:p w14:paraId="73B5CB7E" w14:textId="77777777" w:rsidR="003B2754" w:rsidRPr="00192063" w:rsidRDefault="003B2754" w:rsidP="001C7CAB">
            <w:pPr>
              <w:spacing w:after="0" w:line="240" w:lineRule="auto"/>
              <w:ind w:left="360"/>
              <w:jc w:val="both"/>
              <w:rPr>
                <w:rFonts w:ascii="Arial" w:eastAsia="Times New Roman" w:hAnsi="Arial" w:cs="Arial"/>
                <w:lang w:eastAsia="en-GB"/>
              </w:rPr>
            </w:pPr>
            <w:r w:rsidRPr="00192063">
              <w:rPr>
                <w:rFonts w:ascii="Arial" w:eastAsia="Times New Roman" w:hAnsi="Arial" w:cs="Arial"/>
                <w:lang w:eastAsia="en-GB"/>
              </w:rPr>
              <w:t>Phone number:</w:t>
            </w:r>
          </w:p>
        </w:tc>
        <w:tc>
          <w:tcPr>
            <w:tcW w:w="6378" w:type="dxa"/>
            <w:hideMark/>
          </w:tcPr>
          <w:p w14:paraId="204C9943" w14:textId="77777777" w:rsidR="003B2754" w:rsidRPr="00192063" w:rsidRDefault="003B2754" w:rsidP="001C7CAB">
            <w:pPr>
              <w:spacing w:after="0" w:line="240" w:lineRule="auto"/>
              <w:ind w:left="360"/>
              <w:jc w:val="both"/>
              <w:rPr>
                <w:rFonts w:ascii="Arial" w:eastAsia="Times New Roman" w:hAnsi="Arial" w:cs="Arial"/>
                <w:lang w:eastAsia="en-GB"/>
              </w:rPr>
            </w:pPr>
            <w:r w:rsidRPr="00192063">
              <w:rPr>
                <w:rFonts w:ascii="Arial" w:eastAsia="Times New Roman" w:hAnsi="Arial" w:cs="Arial"/>
                <w:lang w:eastAsia="en-GB"/>
              </w:rPr>
              <w:t>0207 664 3132</w:t>
            </w:r>
          </w:p>
        </w:tc>
      </w:tr>
      <w:tr w:rsidR="003B2754" w:rsidRPr="00192063" w14:paraId="3531A9CB" w14:textId="77777777" w:rsidTr="003B2754">
        <w:tc>
          <w:tcPr>
            <w:tcW w:w="2802" w:type="dxa"/>
            <w:hideMark/>
          </w:tcPr>
          <w:p w14:paraId="6308E86C" w14:textId="77777777" w:rsidR="003B2754" w:rsidRPr="00192063" w:rsidRDefault="003B2754" w:rsidP="001C7CAB">
            <w:pPr>
              <w:spacing w:after="0" w:line="240" w:lineRule="auto"/>
              <w:ind w:left="360"/>
              <w:jc w:val="both"/>
              <w:rPr>
                <w:rFonts w:ascii="Arial" w:eastAsia="Times New Roman" w:hAnsi="Arial" w:cs="Arial"/>
                <w:lang w:eastAsia="en-GB"/>
              </w:rPr>
            </w:pPr>
            <w:r w:rsidRPr="00192063">
              <w:rPr>
                <w:rFonts w:ascii="Arial" w:eastAsia="Times New Roman" w:hAnsi="Arial" w:cs="Arial"/>
                <w:lang w:eastAsia="en-GB"/>
              </w:rPr>
              <w:t>E-mail:</w:t>
            </w:r>
          </w:p>
        </w:tc>
        <w:tc>
          <w:tcPr>
            <w:tcW w:w="6378" w:type="dxa"/>
            <w:hideMark/>
          </w:tcPr>
          <w:p w14:paraId="67C96B99" w14:textId="77777777" w:rsidR="003B2754" w:rsidRPr="00192063" w:rsidRDefault="003B2754" w:rsidP="001C7CAB">
            <w:pPr>
              <w:spacing w:after="0" w:line="240" w:lineRule="auto"/>
              <w:jc w:val="both"/>
              <w:rPr>
                <w:rFonts w:ascii="Arial" w:eastAsia="Times New Roman" w:hAnsi="Arial" w:cs="Arial"/>
                <w:lang w:eastAsia="en-GB"/>
              </w:rPr>
            </w:pPr>
            <w:r w:rsidRPr="00192063">
              <w:rPr>
                <w:rFonts w:ascii="Arial" w:eastAsia="Times New Roman" w:hAnsi="Arial" w:cs="Arial"/>
                <w:lang w:eastAsia="en-GB"/>
              </w:rPr>
              <w:t xml:space="preserve">      </w:t>
            </w:r>
            <w:hyperlink r:id="rId11" w:history="1">
              <w:r w:rsidRPr="00192063">
                <w:rPr>
                  <w:rStyle w:val="Hyperlink"/>
                  <w:rFonts w:ascii="Arial" w:hAnsi="Arial" w:cs="Arial"/>
                </w:rPr>
                <w:t>eamon.lally@local.gov.uk</w:t>
              </w:r>
            </w:hyperlink>
            <w:r w:rsidRPr="00192063">
              <w:rPr>
                <w:rFonts w:ascii="Arial" w:hAnsi="Arial" w:cs="Arial"/>
              </w:rPr>
              <w:t xml:space="preserve"> </w:t>
            </w:r>
          </w:p>
        </w:tc>
      </w:tr>
    </w:tbl>
    <w:p w14:paraId="60D62979" w14:textId="77777777" w:rsidR="003B2754" w:rsidRPr="00192063" w:rsidRDefault="003B2754" w:rsidP="001C7CAB">
      <w:pPr>
        <w:spacing w:before="200" w:line="240" w:lineRule="auto"/>
        <w:contextualSpacing/>
        <w:rPr>
          <w:rFonts w:ascii="Arial" w:hAnsi="Arial" w:cs="Arial"/>
          <w:color w:val="000000"/>
        </w:rPr>
      </w:pPr>
    </w:p>
    <w:sectPr w:rsidR="003B2754" w:rsidRPr="00192063" w:rsidSect="002E4AF6">
      <w:head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7FC2" w14:textId="77777777" w:rsidR="001C7CAB" w:rsidRDefault="001C7CAB" w:rsidP="00FA7FEC">
      <w:pPr>
        <w:spacing w:after="0" w:line="240" w:lineRule="auto"/>
      </w:pPr>
      <w:r>
        <w:separator/>
      </w:r>
    </w:p>
  </w:endnote>
  <w:endnote w:type="continuationSeparator" w:id="0">
    <w:p w14:paraId="284A9BD4" w14:textId="77777777" w:rsidR="001C7CAB" w:rsidRDefault="001C7CAB" w:rsidP="00F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0F8A0" w14:textId="77777777" w:rsidR="001C7CAB" w:rsidRDefault="001C7CAB" w:rsidP="00FA7FEC">
      <w:pPr>
        <w:spacing w:after="0" w:line="240" w:lineRule="auto"/>
      </w:pPr>
      <w:r>
        <w:separator/>
      </w:r>
    </w:p>
  </w:footnote>
  <w:footnote w:type="continuationSeparator" w:id="0">
    <w:p w14:paraId="12C1C2AB" w14:textId="77777777" w:rsidR="001C7CAB" w:rsidRDefault="001C7CAB" w:rsidP="00F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07"/>
      <w:gridCol w:w="3419"/>
    </w:tblGrid>
    <w:tr w:rsidR="001C7CAB" w:rsidRPr="00FA7FEC" w14:paraId="3EC8691D" w14:textId="77777777" w:rsidTr="002D3227">
      <w:trPr>
        <w:trHeight w:val="845"/>
      </w:trPr>
      <w:tc>
        <w:tcPr>
          <w:tcW w:w="5749" w:type="dxa"/>
          <w:vMerge w:val="restart"/>
        </w:tcPr>
        <w:p w14:paraId="3EC8691B" w14:textId="2441E3C9" w:rsidR="001C7CAB" w:rsidRPr="00FA7FEC" w:rsidRDefault="001C7CAB" w:rsidP="002D3227">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3EC86923" wp14:editId="3EC86924">
                <wp:extent cx="1314450" cy="781050"/>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93" w:type="dxa"/>
          <w:vAlign w:val="center"/>
        </w:tcPr>
        <w:p w14:paraId="6A7C7163" w14:textId="77777777" w:rsidR="001C7CAB" w:rsidRDefault="001C7CAB"/>
        <w:tbl>
          <w:tblPr>
            <w:tblW w:w="0" w:type="auto"/>
            <w:tblLook w:val="01E0" w:firstRow="1" w:lastRow="1" w:firstColumn="1" w:lastColumn="1" w:noHBand="0" w:noVBand="0"/>
          </w:tblPr>
          <w:tblGrid>
            <w:gridCol w:w="3203"/>
          </w:tblGrid>
          <w:tr w:rsidR="001C7CAB" w14:paraId="08BC315D" w14:textId="77777777" w:rsidTr="002C1927">
            <w:tc>
              <w:tcPr>
                <w:tcW w:w="3277" w:type="dxa"/>
                <w:hideMark/>
              </w:tcPr>
              <w:p w14:paraId="582118AB" w14:textId="77777777" w:rsidR="001C7CAB" w:rsidRDefault="001C7CAB">
                <w:pPr>
                  <w:pStyle w:val="Header"/>
                  <w:rPr>
                    <w:b/>
                  </w:rPr>
                </w:pPr>
                <w:r>
                  <w:rPr>
                    <w:rFonts w:ascii="Arial" w:hAnsi="Arial" w:cs="Arial"/>
                    <w:b/>
                  </w:rPr>
                  <w:t xml:space="preserve">Councillors’ Forum </w:t>
                </w:r>
              </w:p>
            </w:tc>
          </w:tr>
          <w:tr w:rsidR="001C7CAB" w14:paraId="44D115E6" w14:textId="77777777" w:rsidTr="002C1927">
            <w:trPr>
              <w:trHeight w:val="450"/>
            </w:trPr>
            <w:tc>
              <w:tcPr>
                <w:tcW w:w="3277" w:type="dxa"/>
                <w:hideMark/>
              </w:tcPr>
              <w:p w14:paraId="36BE7D13" w14:textId="6F72B1DB" w:rsidR="001C7CAB" w:rsidRDefault="001C7CAB" w:rsidP="0067263E">
                <w:pPr>
                  <w:pStyle w:val="Header"/>
                  <w:spacing w:before="60"/>
                </w:pPr>
                <w:r>
                  <w:rPr>
                    <w:rFonts w:ascii="Arial" w:hAnsi="Arial" w:cs="Arial"/>
                  </w:rPr>
                  <w:t>9</w:t>
                </w:r>
                <w:r w:rsidRPr="0067263E">
                  <w:rPr>
                    <w:rFonts w:ascii="Arial" w:hAnsi="Arial" w:cs="Arial"/>
                    <w:vertAlign w:val="superscript"/>
                  </w:rPr>
                  <w:t>th</w:t>
                </w:r>
                <w:r>
                  <w:rPr>
                    <w:rFonts w:ascii="Arial" w:hAnsi="Arial" w:cs="Arial"/>
                  </w:rPr>
                  <w:t xml:space="preserve"> June 2016</w:t>
                </w:r>
              </w:p>
            </w:tc>
          </w:tr>
        </w:tbl>
        <w:p w14:paraId="3EC8691C" w14:textId="77777777" w:rsidR="001C7CAB" w:rsidRPr="00FA7FEC" w:rsidRDefault="001C7CAB" w:rsidP="00FA7FEC">
          <w:pPr>
            <w:tabs>
              <w:tab w:val="center" w:pos="4153"/>
              <w:tab w:val="right" w:pos="8306"/>
            </w:tabs>
            <w:spacing w:after="0" w:line="240" w:lineRule="auto"/>
            <w:rPr>
              <w:rFonts w:ascii="Frutiger 45 Light" w:eastAsia="Times New Roman" w:hAnsi="Frutiger 45 Light" w:cs="Times New Roman"/>
              <w:b/>
              <w:lang w:eastAsia="en-GB"/>
            </w:rPr>
          </w:pPr>
        </w:p>
      </w:tc>
    </w:tr>
    <w:tr w:rsidR="001C7CAB" w:rsidRPr="00FA7FEC" w14:paraId="3EC86921" w14:textId="77777777" w:rsidTr="00E64F72">
      <w:trPr>
        <w:trHeight w:val="80"/>
      </w:trPr>
      <w:tc>
        <w:tcPr>
          <w:tcW w:w="5749" w:type="dxa"/>
          <w:vMerge/>
        </w:tcPr>
        <w:p w14:paraId="3EC8691E" w14:textId="77777777" w:rsidR="001C7CAB" w:rsidRPr="00FA7FEC" w:rsidRDefault="001C7CAB" w:rsidP="00FA7FEC">
          <w:pPr>
            <w:tabs>
              <w:tab w:val="center" w:pos="4153"/>
              <w:tab w:val="right" w:pos="8306"/>
            </w:tabs>
            <w:spacing w:after="0" w:line="240" w:lineRule="auto"/>
            <w:rPr>
              <w:rFonts w:ascii="Frutiger 45 Light" w:eastAsia="Times New Roman" w:hAnsi="Frutiger 45 Light" w:cs="Times New Roman"/>
              <w:lang w:eastAsia="en-GB"/>
            </w:rPr>
          </w:pPr>
        </w:p>
      </w:tc>
      <w:tc>
        <w:tcPr>
          <w:tcW w:w="3493" w:type="dxa"/>
          <w:vAlign w:val="center"/>
        </w:tcPr>
        <w:p w14:paraId="3EC86920" w14:textId="4B8A312E" w:rsidR="001C7CAB" w:rsidRPr="00FA7FEC" w:rsidRDefault="001C7CAB" w:rsidP="007661C4">
          <w:pPr>
            <w:tabs>
              <w:tab w:val="center" w:pos="4153"/>
              <w:tab w:val="right" w:pos="8306"/>
            </w:tabs>
            <w:spacing w:before="60" w:after="0" w:line="240" w:lineRule="auto"/>
            <w:rPr>
              <w:rFonts w:ascii="Arial" w:eastAsia="Times New Roman" w:hAnsi="Arial" w:cs="Arial"/>
              <w:highlight w:val="yellow"/>
              <w:lang w:eastAsia="en-GB"/>
            </w:rPr>
          </w:pPr>
        </w:p>
      </w:tc>
    </w:tr>
  </w:tbl>
  <w:p w14:paraId="3EC86922" w14:textId="77777777" w:rsidR="001C7CAB" w:rsidRDefault="001C7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33D"/>
    <w:multiLevelType w:val="hybridMultilevel"/>
    <w:tmpl w:val="5A9E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1694A"/>
    <w:multiLevelType w:val="hybridMultilevel"/>
    <w:tmpl w:val="0BC4A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94D6F"/>
    <w:multiLevelType w:val="multilevel"/>
    <w:tmpl w:val="E7286E4A"/>
    <w:lvl w:ilvl="0">
      <w:start w:val="1"/>
      <w:numFmt w:val="decimal"/>
      <w:lvlText w:val="%1."/>
      <w:lvlJc w:val="left"/>
      <w:pPr>
        <w:ind w:left="720" w:hanging="363"/>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AAF5DE6"/>
    <w:multiLevelType w:val="hybridMultilevel"/>
    <w:tmpl w:val="45A2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C434B"/>
    <w:multiLevelType w:val="hybridMultilevel"/>
    <w:tmpl w:val="BF34A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4270A"/>
    <w:multiLevelType w:val="hybridMultilevel"/>
    <w:tmpl w:val="A66E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352585"/>
    <w:multiLevelType w:val="multilevel"/>
    <w:tmpl w:val="310C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257F7"/>
    <w:multiLevelType w:val="hybridMultilevel"/>
    <w:tmpl w:val="936C1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5A08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C147C4"/>
    <w:multiLevelType w:val="hybridMultilevel"/>
    <w:tmpl w:val="CADC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D6C3D"/>
    <w:multiLevelType w:val="hybridMultilevel"/>
    <w:tmpl w:val="5FB28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5F7102"/>
    <w:multiLevelType w:val="hybridMultilevel"/>
    <w:tmpl w:val="8E106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583BBA"/>
    <w:multiLevelType w:val="hybridMultilevel"/>
    <w:tmpl w:val="0F463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152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967F70"/>
    <w:multiLevelType w:val="hybridMultilevel"/>
    <w:tmpl w:val="35AC8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A30FF2"/>
    <w:multiLevelType w:val="hybridMultilevel"/>
    <w:tmpl w:val="5C82728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EF047C8"/>
    <w:multiLevelType w:val="hybridMultilevel"/>
    <w:tmpl w:val="C8EEFD62"/>
    <w:lvl w:ilvl="0" w:tplc="546640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9F4165"/>
    <w:multiLevelType w:val="hybridMultilevel"/>
    <w:tmpl w:val="45A2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B7327F"/>
    <w:multiLevelType w:val="hybridMultilevel"/>
    <w:tmpl w:val="01EAD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5"/>
  </w:num>
  <w:num w:numId="4">
    <w:abstractNumId w:val="9"/>
  </w:num>
  <w:num w:numId="5">
    <w:abstractNumId w:val="8"/>
  </w:num>
  <w:num w:numId="6">
    <w:abstractNumId w:val="0"/>
  </w:num>
  <w:num w:numId="7">
    <w:abstractNumId w:val="13"/>
  </w:num>
  <w:num w:numId="8">
    <w:abstractNumId w:val="18"/>
  </w:num>
  <w:num w:numId="9">
    <w:abstractNumId w:val="16"/>
  </w:num>
  <w:num w:numId="10">
    <w:abstractNumId w:val="15"/>
  </w:num>
  <w:num w:numId="11">
    <w:abstractNumId w:val="7"/>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 w:numId="16">
    <w:abstractNumId w:val="6"/>
  </w:num>
  <w:num w:numId="17">
    <w:abstractNumId w:val="11"/>
  </w:num>
  <w:num w:numId="18">
    <w:abstractNumId w:val="10"/>
  </w:num>
  <w:num w:numId="19">
    <w:abstractNumId w:val="2"/>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EC"/>
    <w:rsid w:val="00005AF6"/>
    <w:rsid w:val="00007F2E"/>
    <w:rsid w:val="0001443E"/>
    <w:rsid w:val="0003169F"/>
    <w:rsid w:val="00044557"/>
    <w:rsid w:val="000500AA"/>
    <w:rsid w:val="00060B84"/>
    <w:rsid w:val="00073D0F"/>
    <w:rsid w:val="000A7062"/>
    <w:rsid w:val="000C0A7E"/>
    <w:rsid w:val="000F27F8"/>
    <w:rsid w:val="00113ABE"/>
    <w:rsid w:val="00116CF6"/>
    <w:rsid w:val="00142393"/>
    <w:rsid w:val="00160A7E"/>
    <w:rsid w:val="0016139C"/>
    <w:rsid w:val="0018400B"/>
    <w:rsid w:val="00185339"/>
    <w:rsid w:val="0018633A"/>
    <w:rsid w:val="00192063"/>
    <w:rsid w:val="00195BD4"/>
    <w:rsid w:val="001B5544"/>
    <w:rsid w:val="001C24B8"/>
    <w:rsid w:val="001C7CAB"/>
    <w:rsid w:val="001D67B4"/>
    <w:rsid w:val="001D6E9B"/>
    <w:rsid w:val="001D7B9D"/>
    <w:rsid w:val="001E73CC"/>
    <w:rsid w:val="00204ED9"/>
    <w:rsid w:val="0023558D"/>
    <w:rsid w:val="0028349B"/>
    <w:rsid w:val="00291F92"/>
    <w:rsid w:val="002A1BD8"/>
    <w:rsid w:val="002A78CB"/>
    <w:rsid w:val="002B5D96"/>
    <w:rsid w:val="002C0A93"/>
    <w:rsid w:val="002C109E"/>
    <w:rsid w:val="002C1927"/>
    <w:rsid w:val="002D015E"/>
    <w:rsid w:val="002D3227"/>
    <w:rsid w:val="002D632A"/>
    <w:rsid w:val="002E1625"/>
    <w:rsid w:val="002E4AF6"/>
    <w:rsid w:val="002F28CE"/>
    <w:rsid w:val="00304F9F"/>
    <w:rsid w:val="00307E1A"/>
    <w:rsid w:val="00316D6C"/>
    <w:rsid w:val="0033705D"/>
    <w:rsid w:val="00352054"/>
    <w:rsid w:val="00352825"/>
    <w:rsid w:val="0035347C"/>
    <w:rsid w:val="00353809"/>
    <w:rsid w:val="0036515E"/>
    <w:rsid w:val="0037498B"/>
    <w:rsid w:val="003972BD"/>
    <w:rsid w:val="003B2754"/>
    <w:rsid w:val="003C186C"/>
    <w:rsid w:val="003D1A36"/>
    <w:rsid w:val="003E634B"/>
    <w:rsid w:val="00403728"/>
    <w:rsid w:val="004111D7"/>
    <w:rsid w:val="004610C4"/>
    <w:rsid w:val="00474CD4"/>
    <w:rsid w:val="004954FA"/>
    <w:rsid w:val="004A59D9"/>
    <w:rsid w:val="004E2F46"/>
    <w:rsid w:val="0054767C"/>
    <w:rsid w:val="00554089"/>
    <w:rsid w:val="005600B4"/>
    <w:rsid w:val="005D491A"/>
    <w:rsid w:val="005E6804"/>
    <w:rsid w:val="005E689A"/>
    <w:rsid w:val="005F384B"/>
    <w:rsid w:val="00604CDC"/>
    <w:rsid w:val="0061551D"/>
    <w:rsid w:val="00646343"/>
    <w:rsid w:val="0065746A"/>
    <w:rsid w:val="00663927"/>
    <w:rsid w:val="00663D12"/>
    <w:rsid w:val="0067263E"/>
    <w:rsid w:val="00673A89"/>
    <w:rsid w:val="00676F6F"/>
    <w:rsid w:val="00681A78"/>
    <w:rsid w:val="006A7518"/>
    <w:rsid w:val="006B16F1"/>
    <w:rsid w:val="006D14DE"/>
    <w:rsid w:val="006D16E8"/>
    <w:rsid w:val="006D2BD3"/>
    <w:rsid w:val="006E32CB"/>
    <w:rsid w:val="006E466A"/>
    <w:rsid w:val="00731494"/>
    <w:rsid w:val="00731941"/>
    <w:rsid w:val="0074347D"/>
    <w:rsid w:val="00746411"/>
    <w:rsid w:val="00750591"/>
    <w:rsid w:val="007661C4"/>
    <w:rsid w:val="00775402"/>
    <w:rsid w:val="00795D93"/>
    <w:rsid w:val="007B6945"/>
    <w:rsid w:val="007C1C2E"/>
    <w:rsid w:val="007D3BDB"/>
    <w:rsid w:val="007D7152"/>
    <w:rsid w:val="007E32CF"/>
    <w:rsid w:val="00804668"/>
    <w:rsid w:val="0083498C"/>
    <w:rsid w:val="008554B4"/>
    <w:rsid w:val="008872BE"/>
    <w:rsid w:val="008E031A"/>
    <w:rsid w:val="008E3FBA"/>
    <w:rsid w:val="008F39B4"/>
    <w:rsid w:val="0091094C"/>
    <w:rsid w:val="00915641"/>
    <w:rsid w:val="009159F6"/>
    <w:rsid w:val="00972006"/>
    <w:rsid w:val="0099212F"/>
    <w:rsid w:val="009B5C29"/>
    <w:rsid w:val="009B73EB"/>
    <w:rsid w:val="009D1717"/>
    <w:rsid w:val="009D72CC"/>
    <w:rsid w:val="009E1153"/>
    <w:rsid w:val="009F22D9"/>
    <w:rsid w:val="009F5E57"/>
    <w:rsid w:val="00A020C2"/>
    <w:rsid w:val="00A148EB"/>
    <w:rsid w:val="00A1576D"/>
    <w:rsid w:val="00A21F6D"/>
    <w:rsid w:val="00AB4EF5"/>
    <w:rsid w:val="00AD2114"/>
    <w:rsid w:val="00AE4508"/>
    <w:rsid w:val="00B03B6C"/>
    <w:rsid w:val="00B06123"/>
    <w:rsid w:val="00B276D0"/>
    <w:rsid w:val="00B348EE"/>
    <w:rsid w:val="00B94ECE"/>
    <w:rsid w:val="00BB58FE"/>
    <w:rsid w:val="00BC2DB5"/>
    <w:rsid w:val="00BC5A8B"/>
    <w:rsid w:val="00C13E87"/>
    <w:rsid w:val="00C22DB8"/>
    <w:rsid w:val="00C320F1"/>
    <w:rsid w:val="00C3529D"/>
    <w:rsid w:val="00C359B3"/>
    <w:rsid w:val="00C4551C"/>
    <w:rsid w:val="00C55958"/>
    <w:rsid w:val="00CC03C4"/>
    <w:rsid w:val="00CF12E4"/>
    <w:rsid w:val="00D11346"/>
    <w:rsid w:val="00D225FB"/>
    <w:rsid w:val="00D2290A"/>
    <w:rsid w:val="00D24356"/>
    <w:rsid w:val="00D25518"/>
    <w:rsid w:val="00D4129F"/>
    <w:rsid w:val="00D43215"/>
    <w:rsid w:val="00D45A57"/>
    <w:rsid w:val="00D80F45"/>
    <w:rsid w:val="00D92E43"/>
    <w:rsid w:val="00DA4995"/>
    <w:rsid w:val="00DA6022"/>
    <w:rsid w:val="00DC5941"/>
    <w:rsid w:val="00DE2D88"/>
    <w:rsid w:val="00DF1DB2"/>
    <w:rsid w:val="00DF2BB0"/>
    <w:rsid w:val="00DF3FDC"/>
    <w:rsid w:val="00E21CD3"/>
    <w:rsid w:val="00E30FA6"/>
    <w:rsid w:val="00E52E62"/>
    <w:rsid w:val="00E54A3B"/>
    <w:rsid w:val="00E64D23"/>
    <w:rsid w:val="00E64F72"/>
    <w:rsid w:val="00E8307D"/>
    <w:rsid w:val="00E93795"/>
    <w:rsid w:val="00EA2933"/>
    <w:rsid w:val="00EB5DA5"/>
    <w:rsid w:val="00EC157F"/>
    <w:rsid w:val="00ED03E7"/>
    <w:rsid w:val="00ED6DE1"/>
    <w:rsid w:val="00EE2BA3"/>
    <w:rsid w:val="00EE4924"/>
    <w:rsid w:val="00EF7FC1"/>
    <w:rsid w:val="00F13EC7"/>
    <w:rsid w:val="00F23571"/>
    <w:rsid w:val="00F25E0A"/>
    <w:rsid w:val="00F93F8D"/>
    <w:rsid w:val="00FA7FEC"/>
    <w:rsid w:val="00FB4955"/>
    <w:rsid w:val="00FB4DF5"/>
    <w:rsid w:val="00FB5E4D"/>
    <w:rsid w:val="00FF0F23"/>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EC868D9"/>
  <w15:docId w15:val="{D63085D0-6DD2-4EA9-A8C1-D257A3C8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 w:type="character" w:styleId="Strong">
    <w:name w:val="Strong"/>
    <w:basedOn w:val="DefaultParagraphFont"/>
    <w:uiPriority w:val="22"/>
    <w:qFormat/>
    <w:rsid w:val="00E54A3B"/>
    <w:rPr>
      <w:b/>
      <w:bCs/>
    </w:rPr>
  </w:style>
  <w:style w:type="paragraph" w:styleId="PlainText">
    <w:name w:val="Plain Text"/>
    <w:basedOn w:val="Normal"/>
    <w:link w:val="PlainTextChar"/>
    <w:uiPriority w:val="99"/>
    <w:unhideWhenUsed/>
    <w:rsid w:val="00FB4955"/>
    <w:pPr>
      <w:spacing w:after="0" w:line="240" w:lineRule="auto"/>
    </w:pPr>
    <w:rPr>
      <w:rFonts w:ascii="Arial" w:hAnsi="Arial" w:cs="Arial"/>
    </w:rPr>
  </w:style>
  <w:style w:type="character" w:customStyle="1" w:styleId="PlainTextChar">
    <w:name w:val="Plain Text Char"/>
    <w:basedOn w:val="DefaultParagraphFont"/>
    <w:link w:val="PlainText"/>
    <w:uiPriority w:val="99"/>
    <w:rsid w:val="00FB495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6514">
      <w:bodyDiv w:val="1"/>
      <w:marLeft w:val="0"/>
      <w:marRight w:val="0"/>
      <w:marTop w:val="0"/>
      <w:marBottom w:val="0"/>
      <w:divBdr>
        <w:top w:val="none" w:sz="0" w:space="0" w:color="auto"/>
        <w:left w:val="none" w:sz="0" w:space="0" w:color="auto"/>
        <w:bottom w:val="none" w:sz="0" w:space="0" w:color="auto"/>
        <w:right w:val="none" w:sz="0" w:space="0" w:color="auto"/>
      </w:divBdr>
    </w:div>
    <w:div w:id="98305703">
      <w:bodyDiv w:val="1"/>
      <w:marLeft w:val="0"/>
      <w:marRight w:val="0"/>
      <w:marTop w:val="0"/>
      <w:marBottom w:val="0"/>
      <w:divBdr>
        <w:top w:val="none" w:sz="0" w:space="0" w:color="auto"/>
        <w:left w:val="none" w:sz="0" w:space="0" w:color="auto"/>
        <w:bottom w:val="none" w:sz="0" w:space="0" w:color="auto"/>
        <w:right w:val="none" w:sz="0" w:space="0" w:color="auto"/>
      </w:divBdr>
    </w:div>
    <w:div w:id="158624153">
      <w:bodyDiv w:val="1"/>
      <w:marLeft w:val="0"/>
      <w:marRight w:val="0"/>
      <w:marTop w:val="0"/>
      <w:marBottom w:val="0"/>
      <w:divBdr>
        <w:top w:val="none" w:sz="0" w:space="0" w:color="auto"/>
        <w:left w:val="none" w:sz="0" w:space="0" w:color="auto"/>
        <w:bottom w:val="none" w:sz="0" w:space="0" w:color="auto"/>
        <w:right w:val="none" w:sz="0" w:space="0" w:color="auto"/>
      </w:divBdr>
    </w:div>
    <w:div w:id="166755476">
      <w:bodyDiv w:val="1"/>
      <w:marLeft w:val="0"/>
      <w:marRight w:val="0"/>
      <w:marTop w:val="0"/>
      <w:marBottom w:val="0"/>
      <w:divBdr>
        <w:top w:val="none" w:sz="0" w:space="0" w:color="auto"/>
        <w:left w:val="none" w:sz="0" w:space="0" w:color="auto"/>
        <w:bottom w:val="none" w:sz="0" w:space="0" w:color="auto"/>
        <w:right w:val="none" w:sz="0" w:space="0" w:color="auto"/>
      </w:divBdr>
    </w:div>
    <w:div w:id="203099343">
      <w:bodyDiv w:val="1"/>
      <w:marLeft w:val="0"/>
      <w:marRight w:val="0"/>
      <w:marTop w:val="0"/>
      <w:marBottom w:val="0"/>
      <w:divBdr>
        <w:top w:val="none" w:sz="0" w:space="0" w:color="auto"/>
        <w:left w:val="none" w:sz="0" w:space="0" w:color="auto"/>
        <w:bottom w:val="none" w:sz="0" w:space="0" w:color="auto"/>
        <w:right w:val="none" w:sz="0" w:space="0" w:color="auto"/>
      </w:divBdr>
    </w:div>
    <w:div w:id="341709197">
      <w:bodyDiv w:val="1"/>
      <w:marLeft w:val="0"/>
      <w:marRight w:val="0"/>
      <w:marTop w:val="0"/>
      <w:marBottom w:val="0"/>
      <w:divBdr>
        <w:top w:val="none" w:sz="0" w:space="0" w:color="auto"/>
        <w:left w:val="none" w:sz="0" w:space="0" w:color="auto"/>
        <w:bottom w:val="none" w:sz="0" w:space="0" w:color="auto"/>
        <w:right w:val="none" w:sz="0" w:space="0" w:color="auto"/>
      </w:divBdr>
    </w:div>
    <w:div w:id="348601649">
      <w:bodyDiv w:val="1"/>
      <w:marLeft w:val="0"/>
      <w:marRight w:val="0"/>
      <w:marTop w:val="0"/>
      <w:marBottom w:val="0"/>
      <w:divBdr>
        <w:top w:val="none" w:sz="0" w:space="0" w:color="auto"/>
        <w:left w:val="none" w:sz="0" w:space="0" w:color="auto"/>
        <w:bottom w:val="none" w:sz="0" w:space="0" w:color="auto"/>
        <w:right w:val="none" w:sz="0" w:space="0" w:color="auto"/>
      </w:divBdr>
    </w:div>
    <w:div w:id="481309873">
      <w:bodyDiv w:val="1"/>
      <w:marLeft w:val="0"/>
      <w:marRight w:val="0"/>
      <w:marTop w:val="0"/>
      <w:marBottom w:val="0"/>
      <w:divBdr>
        <w:top w:val="none" w:sz="0" w:space="0" w:color="auto"/>
        <w:left w:val="none" w:sz="0" w:space="0" w:color="auto"/>
        <w:bottom w:val="none" w:sz="0" w:space="0" w:color="auto"/>
        <w:right w:val="none" w:sz="0" w:space="0" w:color="auto"/>
      </w:divBdr>
    </w:div>
    <w:div w:id="498153088">
      <w:bodyDiv w:val="1"/>
      <w:marLeft w:val="0"/>
      <w:marRight w:val="0"/>
      <w:marTop w:val="0"/>
      <w:marBottom w:val="0"/>
      <w:divBdr>
        <w:top w:val="none" w:sz="0" w:space="0" w:color="auto"/>
        <w:left w:val="none" w:sz="0" w:space="0" w:color="auto"/>
        <w:bottom w:val="none" w:sz="0" w:space="0" w:color="auto"/>
        <w:right w:val="none" w:sz="0" w:space="0" w:color="auto"/>
      </w:divBdr>
    </w:div>
    <w:div w:id="516434000">
      <w:bodyDiv w:val="1"/>
      <w:marLeft w:val="0"/>
      <w:marRight w:val="0"/>
      <w:marTop w:val="0"/>
      <w:marBottom w:val="0"/>
      <w:divBdr>
        <w:top w:val="none" w:sz="0" w:space="0" w:color="auto"/>
        <w:left w:val="none" w:sz="0" w:space="0" w:color="auto"/>
        <w:bottom w:val="none" w:sz="0" w:space="0" w:color="auto"/>
        <w:right w:val="none" w:sz="0" w:space="0" w:color="auto"/>
      </w:divBdr>
    </w:div>
    <w:div w:id="541065284">
      <w:bodyDiv w:val="1"/>
      <w:marLeft w:val="0"/>
      <w:marRight w:val="0"/>
      <w:marTop w:val="0"/>
      <w:marBottom w:val="0"/>
      <w:divBdr>
        <w:top w:val="none" w:sz="0" w:space="0" w:color="auto"/>
        <w:left w:val="none" w:sz="0" w:space="0" w:color="auto"/>
        <w:bottom w:val="none" w:sz="0" w:space="0" w:color="auto"/>
        <w:right w:val="none" w:sz="0" w:space="0" w:color="auto"/>
      </w:divBdr>
    </w:div>
    <w:div w:id="620233615">
      <w:bodyDiv w:val="1"/>
      <w:marLeft w:val="0"/>
      <w:marRight w:val="0"/>
      <w:marTop w:val="0"/>
      <w:marBottom w:val="0"/>
      <w:divBdr>
        <w:top w:val="none" w:sz="0" w:space="0" w:color="auto"/>
        <w:left w:val="none" w:sz="0" w:space="0" w:color="auto"/>
        <w:bottom w:val="none" w:sz="0" w:space="0" w:color="auto"/>
        <w:right w:val="none" w:sz="0" w:space="0" w:color="auto"/>
      </w:divBdr>
      <w:divsChild>
        <w:div w:id="534465502">
          <w:marLeft w:val="0"/>
          <w:marRight w:val="0"/>
          <w:marTop w:val="0"/>
          <w:marBottom w:val="0"/>
          <w:divBdr>
            <w:top w:val="none" w:sz="0" w:space="0" w:color="auto"/>
            <w:left w:val="none" w:sz="0" w:space="0" w:color="auto"/>
            <w:bottom w:val="none" w:sz="0" w:space="0" w:color="auto"/>
            <w:right w:val="none" w:sz="0" w:space="0" w:color="auto"/>
          </w:divBdr>
          <w:divsChild>
            <w:div w:id="357775732">
              <w:marLeft w:val="0"/>
              <w:marRight w:val="0"/>
              <w:marTop w:val="0"/>
              <w:marBottom w:val="0"/>
              <w:divBdr>
                <w:top w:val="none" w:sz="0" w:space="0" w:color="auto"/>
                <w:left w:val="none" w:sz="0" w:space="0" w:color="auto"/>
                <w:bottom w:val="none" w:sz="0" w:space="0" w:color="auto"/>
                <w:right w:val="none" w:sz="0" w:space="0" w:color="auto"/>
              </w:divBdr>
              <w:divsChild>
                <w:div w:id="1117138617">
                  <w:marLeft w:val="0"/>
                  <w:marRight w:val="0"/>
                  <w:marTop w:val="0"/>
                  <w:marBottom w:val="0"/>
                  <w:divBdr>
                    <w:top w:val="none" w:sz="0" w:space="0" w:color="auto"/>
                    <w:left w:val="none" w:sz="0" w:space="0" w:color="auto"/>
                    <w:bottom w:val="none" w:sz="0" w:space="0" w:color="auto"/>
                    <w:right w:val="none" w:sz="0" w:space="0" w:color="auto"/>
                  </w:divBdr>
                  <w:divsChild>
                    <w:div w:id="1193956546">
                      <w:marLeft w:val="0"/>
                      <w:marRight w:val="0"/>
                      <w:marTop w:val="0"/>
                      <w:marBottom w:val="0"/>
                      <w:divBdr>
                        <w:top w:val="none" w:sz="0" w:space="0" w:color="auto"/>
                        <w:left w:val="none" w:sz="0" w:space="0" w:color="auto"/>
                        <w:bottom w:val="none" w:sz="0" w:space="0" w:color="auto"/>
                        <w:right w:val="none" w:sz="0" w:space="0" w:color="auto"/>
                      </w:divBdr>
                      <w:divsChild>
                        <w:div w:id="1260989016">
                          <w:marLeft w:val="0"/>
                          <w:marRight w:val="0"/>
                          <w:marTop w:val="0"/>
                          <w:marBottom w:val="0"/>
                          <w:divBdr>
                            <w:top w:val="none" w:sz="0" w:space="0" w:color="auto"/>
                            <w:left w:val="none" w:sz="0" w:space="0" w:color="auto"/>
                            <w:bottom w:val="none" w:sz="0" w:space="0" w:color="auto"/>
                            <w:right w:val="none" w:sz="0" w:space="0" w:color="auto"/>
                          </w:divBdr>
                          <w:divsChild>
                            <w:div w:id="637497270">
                              <w:marLeft w:val="0"/>
                              <w:marRight w:val="0"/>
                              <w:marTop w:val="0"/>
                              <w:marBottom w:val="0"/>
                              <w:divBdr>
                                <w:top w:val="none" w:sz="0" w:space="0" w:color="auto"/>
                                <w:left w:val="none" w:sz="0" w:space="0" w:color="auto"/>
                                <w:bottom w:val="none" w:sz="0" w:space="0" w:color="auto"/>
                                <w:right w:val="none" w:sz="0" w:space="0" w:color="auto"/>
                              </w:divBdr>
                              <w:divsChild>
                                <w:div w:id="513110595">
                                  <w:marLeft w:val="0"/>
                                  <w:marRight w:val="0"/>
                                  <w:marTop w:val="0"/>
                                  <w:marBottom w:val="0"/>
                                  <w:divBdr>
                                    <w:top w:val="none" w:sz="0" w:space="0" w:color="auto"/>
                                    <w:left w:val="none" w:sz="0" w:space="0" w:color="auto"/>
                                    <w:bottom w:val="none" w:sz="0" w:space="0" w:color="auto"/>
                                    <w:right w:val="none" w:sz="0" w:space="0" w:color="auto"/>
                                  </w:divBdr>
                                </w:div>
                                <w:div w:id="6262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428484">
      <w:bodyDiv w:val="1"/>
      <w:marLeft w:val="0"/>
      <w:marRight w:val="0"/>
      <w:marTop w:val="0"/>
      <w:marBottom w:val="0"/>
      <w:divBdr>
        <w:top w:val="none" w:sz="0" w:space="0" w:color="auto"/>
        <w:left w:val="none" w:sz="0" w:space="0" w:color="auto"/>
        <w:bottom w:val="none" w:sz="0" w:space="0" w:color="auto"/>
        <w:right w:val="none" w:sz="0" w:space="0" w:color="auto"/>
      </w:divBdr>
    </w:div>
    <w:div w:id="743836491">
      <w:bodyDiv w:val="1"/>
      <w:marLeft w:val="0"/>
      <w:marRight w:val="0"/>
      <w:marTop w:val="0"/>
      <w:marBottom w:val="0"/>
      <w:divBdr>
        <w:top w:val="none" w:sz="0" w:space="0" w:color="auto"/>
        <w:left w:val="none" w:sz="0" w:space="0" w:color="auto"/>
        <w:bottom w:val="none" w:sz="0" w:space="0" w:color="auto"/>
        <w:right w:val="none" w:sz="0" w:space="0" w:color="auto"/>
      </w:divBdr>
    </w:div>
    <w:div w:id="788428368">
      <w:bodyDiv w:val="1"/>
      <w:marLeft w:val="0"/>
      <w:marRight w:val="0"/>
      <w:marTop w:val="0"/>
      <w:marBottom w:val="0"/>
      <w:divBdr>
        <w:top w:val="none" w:sz="0" w:space="0" w:color="auto"/>
        <w:left w:val="none" w:sz="0" w:space="0" w:color="auto"/>
        <w:bottom w:val="none" w:sz="0" w:space="0" w:color="auto"/>
        <w:right w:val="none" w:sz="0" w:space="0" w:color="auto"/>
      </w:divBdr>
    </w:div>
    <w:div w:id="805317477">
      <w:bodyDiv w:val="1"/>
      <w:marLeft w:val="0"/>
      <w:marRight w:val="0"/>
      <w:marTop w:val="0"/>
      <w:marBottom w:val="0"/>
      <w:divBdr>
        <w:top w:val="none" w:sz="0" w:space="0" w:color="auto"/>
        <w:left w:val="none" w:sz="0" w:space="0" w:color="auto"/>
        <w:bottom w:val="none" w:sz="0" w:space="0" w:color="auto"/>
        <w:right w:val="none" w:sz="0" w:space="0" w:color="auto"/>
      </w:divBdr>
    </w:div>
    <w:div w:id="833104574">
      <w:bodyDiv w:val="1"/>
      <w:marLeft w:val="0"/>
      <w:marRight w:val="0"/>
      <w:marTop w:val="0"/>
      <w:marBottom w:val="0"/>
      <w:divBdr>
        <w:top w:val="none" w:sz="0" w:space="0" w:color="auto"/>
        <w:left w:val="none" w:sz="0" w:space="0" w:color="auto"/>
        <w:bottom w:val="none" w:sz="0" w:space="0" w:color="auto"/>
        <w:right w:val="none" w:sz="0" w:space="0" w:color="auto"/>
      </w:divBdr>
    </w:div>
    <w:div w:id="877428673">
      <w:bodyDiv w:val="1"/>
      <w:marLeft w:val="0"/>
      <w:marRight w:val="0"/>
      <w:marTop w:val="0"/>
      <w:marBottom w:val="0"/>
      <w:divBdr>
        <w:top w:val="none" w:sz="0" w:space="0" w:color="auto"/>
        <w:left w:val="none" w:sz="0" w:space="0" w:color="auto"/>
        <w:bottom w:val="none" w:sz="0" w:space="0" w:color="auto"/>
        <w:right w:val="none" w:sz="0" w:space="0" w:color="auto"/>
      </w:divBdr>
    </w:div>
    <w:div w:id="923609377">
      <w:bodyDiv w:val="1"/>
      <w:marLeft w:val="0"/>
      <w:marRight w:val="0"/>
      <w:marTop w:val="0"/>
      <w:marBottom w:val="0"/>
      <w:divBdr>
        <w:top w:val="none" w:sz="0" w:space="0" w:color="auto"/>
        <w:left w:val="none" w:sz="0" w:space="0" w:color="auto"/>
        <w:bottom w:val="none" w:sz="0" w:space="0" w:color="auto"/>
        <w:right w:val="none" w:sz="0" w:space="0" w:color="auto"/>
      </w:divBdr>
    </w:div>
    <w:div w:id="975454925">
      <w:bodyDiv w:val="1"/>
      <w:marLeft w:val="0"/>
      <w:marRight w:val="0"/>
      <w:marTop w:val="0"/>
      <w:marBottom w:val="0"/>
      <w:divBdr>
        <w:top w:val="none" w:sz="0" w:space="0" w:color="auto"/>
        <w:left w:val="none" w:sz="0" w:space="0" w:color="auto"/>
        <w:bottom w:val="none" w:sz="0" w:space="0" w:color="auto"/>
        <w:right w:val="none" w:sz="0" w:space="0" w:color="auto"/>
      </w:divBdr>
    </w:div>
    <w:div w:id="976840116">
      <w:bodyDiv w:val="1"/>
      <w:marLeft w:val="0"/>
      <w:marRight w:val="0"/>
      <w:marTop w:val="0"/>
      <w:marBottom w:val="0"/>
      <w:divBdr>
        <w:top w:val="none" w:sz="0" w:space="0" w:color="auto"/>
        <w:left w:val="none" w:sz="0" w:space="0" w:color="auto"/>
        <w:bottom w:val="none" w:sz="0" w:space="0" w:color="auto"/>
        <w:right w:val="none" w:sz="0" w:space="0" w:color="auto"/>
      </w:divBdr>
    </w:div>
    <w:div w:id="1020593905">
      <w:bodyDiv w:val="1"/>
      <w:marLeft w:val="0"/>
      <w:marRight w:val="0"/>
      <w:marTop w:val="0"/>
      <w:marBottom w:val="0"/>
      <w:divBdr>
        <w:top w:val="none" w:sz="0" w:space="0" w:color="auto"/>
        <w:left w:val="none" w:sz="0" w:space="0" w:color="auto"/>
        <w:bottom w:val="none" w:sz="0" w:space="0" w:color="auto"/>
        <w:right w:val="none" w:sz="0" w:space="0" w:color="auto"/>
      </w:divBdr>
    </w:div>
    <w:div w:id="1021467760">
      <w:bodyDiv w:val="1"/>
      <w:marLeft w:val="0"/>
      <w:marRight w:val="0"/>
      <w:marTop w:val="0"/>
      <w:marBottom w:val="0"/>
      <w:divBdr>
        <w:top w:val="none" w:sz="0" w:space="0" w:color="auto"/>
        <w:left w:val="none" w:sz="0" w:space="0" w:color="auto"/>
        <w:bottom w:val="none" w:sz="0" w:space="0" w:color="auto"/>
        <w:right w:val="none" w:sz="0" w:space="0" w:color="auto"/>
      </w:divBdr>
    </w:div>
    <w:div w:id="1048451026">
      <w:bodyDiv w:val="1"/>
      <w:marLeft w:val="0"/>
      <w:marRight w:val="0"/>
      <w:marTop w:val="0"/>
      <w:marBottom w:val="0"/>
      <w:divBdr>
        <w:top w:val="none" w:sz="0" w:space="0" w:color="auto"/>
        <w:left w:val="none" w:sz="0" w:space="0" w:color="auto"/>
        <w:bottom w:val="none" w:sz="0" w:space="0" w:color="auto"/>
        <w:right w:val="none" w:sz="0" w:space="0" w:color="auto"/>
      </w:divBdr>
    </w:div>
    <w:div w:id="1110473578">
      <w:bodyDiv w:val="1"/>
      <w:marLeft w:val="0"/>
      <w:marRight w:val="0"/>
      <w:marTop w:val="0"/>
      <w:marBottom w:val="0"/>
      <w:divBdr>
        <w:top w:val="none" w:sz="0" w:space="0" w:color="auto"/>
        <w:left w:val="none" w:sz="0" w:space="0" w:color="auto"/>
        <w:bottom w:val="none" w:sz="0" w:space="0" w:color="auto"/>
        <w:right w:val="none" w:sz="0" w:space="0" w:color="auto"/>
      </w:divBdr>
    </w:div>
    <w:div w:id="1121150653">
      <w:bodyDiv w:val="1"/>
      <w:marLeft w:val="0"/>
      <w:marRight w:val="0"/>
      <w:marTop w:val="0"/>
      <w:marBottom w:val="0"/>
      <w:divBdr>
        <w:top w:val="none" w:sz="0" w:space="0" w:color="auto"/>
        <w:left w:val="none" w:sz="0" w:space="0" w:color="auto"/>
        <w:bottom w:val="none" w:sz="0" w:space="0" w:color="auto"/>
        <w:right w:val="none" w:sz="0" w:space="0" w:color="auto"/>
      </w:divBdr>
    </w:div>
    <w:div w:id="1208761509">
      <w:bodyDiv w:val="1"/>
      <w:marLeft w:val="0"/>
      <w:marRight w:val="0"/>
      <w:marTop w:val="0"/>
      <w:marBottom w:val="0"/>
      <w:divBdr>
        <w:top w:val="none" w:sz="0" w:space="0" w:color="auto"/>
        <w:left w:val="none" w:sz="0" w:space="0" w:color="auto"/>
        <w:bottom w:val="none" w:sz="0" w:space="0" w:color="auto"/>
        <w:right w:val="none" w:sz="0" w:space="0" w:color="auto"/>
      </w:divBdr>
    </w:div>
    <w:div w:id="1210533535">
      <w:bodyDiv w:val="1"/>
      <w:marLeft w:val="0"/>
      <w:marRight w:val="0"/>
      <w:marTop w:val="0"/>
      <w:marBottom w:val="0"/>
      <w:divBdr>
        <w:top w:val="none" w:sz="0" w:space="0" w:color="auto"/>
        <w:left w:val="none" w:sz="0" w:space="0" w:color="auto"/>
        <w:bottom w:val="none" w:sz="0" w:space="0" w:color="auto"/>
        <w:right w:val="none" w:sz="0" w:space="0" w:color="auto"/>
      </w:divBdr>
    </w:div>
    <w:div w:id="1220022489">
      <w:bodyDiv w:val="1"/>
      <w:marLeft w:val="0"/>
      <w:marRight w:val="0"/>
      <w:marTop w:val="0"/>
      <w:marBottom w:val="0"/>
      <w:divBdr>
        <w:top w:val="none" w:sz="0" w:space="0" w:color="auto"/>
        <w:left w:val="none" w:sz="0" w:space="0" w:color="auto"/>
        <w:bottom w:val="none" w:sz="0" w:space="0" w:color="auto"/>
        <w:right w:val="none" w:sz="0" w:space="0" w:color="auto"/>
      </w:divBdr>
    </w:div>
    <w:div w:id="1276600877">
      <w:bodyDiv w:val="1"/>
      <w:marLeft w:val="0"/>
      <w:marRight w:val="0"/>
      <w:marTop w:val="0"/>
      <w:marBottom w:val="0"/>
      <w:divBdr>
        <w:top w:val="none" w:sz="0" w:space="0" w:color="auto"/>
        <w:left w:val="none" w:sz="0" w:space="0" w:color="auto"/>
        <w:bottom w:val="none" w:sz="0" w:space="0" w:color="auto"/>
        <w:right w:val="none" w:sz="0" w:space="0" w:color="auto"/>
      </w:divBdr>
    </w:div>
    <w:div w:id="1286547294">
      <w:bodyDiv w:val="1"/>
      <w:marLeft w:val="0"/>
      <w:marRight w:val="0"/>
      <w:marTop w:val="0"/>
      <w:marBottom w:val="0"/>
      <w:divBdr>
        <w:top w:val="none" w:sz="0" w:space="0" w:color="auto"/>
        <w:left w:val="none" w:sz="0" w:space="0" w:color="auto"/>
        <w:bottom w:val="none" w:sz="0" w:space="0" w:color="auto"/>
        <w:right w:val="none" w:sz="0" w:space="0" w:color="auto"/>
      </w:divBdr>
    </w:div>
    <w:div w:id="1303387833">
      <w:bodyDiv w:val="1"/>
      <w:marLeft w:val="0"/>
      <w:marRight w:val="0"/>
      <w:marTop w:val="0"/>
      <w:marBottom w:val="0"/>
      <w:divBdr>
        <w:top w:val="none" w:sz="0" w:space="0" w:color="auto"/>
        <w:left w:val="none" w:sz="0" w:space="0" w:color="auto"/>
        <w:bottom w:val="none" w:sz="0" w:space="0" w:color="auto"/>
        <w:right w:val="none" w:sz="0" w:space="0" w:color="auto"/>
      </w:divBdr>
    </w:div>
    <w:div w:id="1395658718">
      <w:bodyDiv w:val="1"/>
      <w:marLeft w:val="0"/>
      <w:marRight w:val="0"/>
      <w:marTop w:val="0"/>
      <w:marBottom w:val="0"/>
      <w:divBdr>
        <w:top w:val="none" w:sz="0" w:space="0" w:color="auto"/>
        <w:left w:val="none" w:sz="0" w:space="0" w:color="auto"/>
        <w:bottom w:val="none" w:sz="0" w:space="0" w:color="auto"/>
        <w:right w:val="none" w:sz="0" w:space="0" w:color="auto"/>
      </w:divBdr>
    </w:div>
    <w:div w:id="1417239349">
      <w:bodyDiv w:val="1"/>
      <w:marLeft w:val="0"/>
      <w:marRight w:val="0"/>
      <w:marTop w:val="0"/>
      <w:marBottom w:val="0"/>
      <w:divBdr>
        <w:top w:val="none" w:sz="0" w:space="0" w:color="auto"/>
        <w:left w:val="none" w:sz="0" w:space="0" w:color="auto"/>
        <w:bottom w:val="none" w:sz="0" w:space="0" w:color="auto"/>
        <w:right w:val="none" w:sz="0" w:space="0" w:color="auto"/>
      </w:divBdr>
    </w:div>
    <w:div w:id="1435709097">
      <w:bodyDiv w:val="1"/>
      <w:marLeft w:val="0"/>
      <w:marRight w:val="0"/>
      <w:marTop w:val="0"/>
      <w:marBottom w:val="0"/>
      <w:divBdr>
        <w:top w:val="none" w:sz="0" w:space="0" w:color="auto"/>
        <w:left w:val="none" w:sz="0" w:space="0" w:color="auto"/>
        <w:bottom w:val="none" w:sz="0" w:space="0" w:color="auto"/>
        <w:right w:val="none" w:sz="0" w:space="0" w:color="auto"/>
      </w:divBdr>
    </w:div>
    <w:div w:id="1479221042">
      <w:bodyDiv w:val="1"/>
      <w:marLeft w:val="0"/>
      <w:marRight w:val="0"/>
      <w:marTop w:val="0"/>
      <w:marBottom w:val="0"/>
      <w:divBdr>
        <w:top w:val="none" w:sz="0" w:space="0" w:color="auto"/>
        <w:left w:val="none" w:sz="0" w:space="0" w:color="auto"/>
        <w:bottom w:val="none" w:sz="0" w:space="0" w:color="auto"/>
        <w:right w:val="none" w:sz="0" w:space="0" w:color="auto"/>
      </w:divBdr>
    </w:div>
    <w:div w:id="1488128528">
      <w:bodyDiv w:val="1"/>
      <w:marLeft w:val="0"/>
      <w:marRight w:val="0"/>
      <w:marTop w:val="0"/>
      <w:marBottom w:val="0"/>
      <w:divBdr>
        <w:top w:val="none" w:sz="0" w:space="0" w:color="auto"/>
        <w:left w:val="none" w:sz="0" w:space="0" w:color="auto"/>
        <w:bottom w:val="none" w:sz="0" w:space="0" w:color="auto"/>
        <w:right w:val="none" w:sz="0" w:space="0" w:color="auto"/>
      </w:divBdr>
    </w:div>
    <w:div w:id="1564174585">
      <w:bodyDiv w:val="1"/>
      <w:marLeft w:val="0"/>
      <w:marRight w:val="0"/>
      <w:marTop w:val="0"/>
      <w:marBottom w:val="0"/>
      <w:divBdr>
        <w:top w:val="none" w:sz="0" w:space="0" w:color="auto"/>
        <w:left w:val="none" w:sz="0" w:space="0" w:color="auto"/>
        <w:bottom w:val="none" w:sz="0" w:space="0" w:color="auto"/>
        <w:right w:val="none" w:sz="0" w:space="0" w:color="auto"/>
      </w:divBdr>
    </w:div>
    <w:div w:id="1581013801">
      <w:bodyDiv w:val="1"/>
      <w:marLeft w:val="0"/>
      <w:marRight w:val="0"/>
      <w:marTop w:val="0"/>
      <w:marBottom w:val="0"/>
      <w:divBdr>
        <w:top w:val="none" w:sz="0" w:space="0" w:color="auto"/>
        <w:left w:val="none" w:sz="0" w:space="0" w:color="auto"/>
        <w:bottom w:val="none" w:sz="0" w:space="0" w:color="auto"/>
        <w:right w:val="none" w:sz="0" w:space="0" w:color="auto"/>
      </w:divBdr>
    </w:div>
    <w:div w:id="1667442110">
      <w:bodyDiv w:val="1"/>
      <w:marLeft w:val="0"/>
      <w:marRight w:val="0"/>
      <w:marTop w:val="0"/>
      <w:marBottom w:val="0"/>
      <w:divBdr>
        <w:top w:val="none" w:sz="0" w:space="0" w:color="auto"/>
        <w:left w:val="none" w:sz="0" w:space="0" w:color="auto"/>
        <w:bottom w:val="none" w:sz="0" w:space="0" w:color="auto"/>
        <w:right w:val="none" w:sz="0" w:space="0" w:color="auto"/>
      </w:divBdr>
    </w:div>
    <w:div w:id="1786538925">
      <w:bodyDiv w:val="1"/>
      <w:marLeft w:val="0"/>
      <w:marRight w:val="0"/>
      <w:marTop w:val="0"/>
      <w:marBottom w:val="0"/>
      <w:divBdr>
        <w:top w:val="none" w:sz="0" w:space="0" w:color="auto"/>
        <w:left w:val="none" w:sz="0" w:space="0" w:color="auto"/>
        <w:bottom w:val="none" w:sz="0" w:space="0" w:color="auto"/>
        <w:right w:val="none" w:sz="0" w:space="0" w:color="auto"/>
      </w:divBdr>
    </w:div>
    <w:div w:id="1923490440">
      <w:bodyDiv w:val="1"/>
      <w:marLeft w:val="0"/>
      <w:marRight w:val="0"/>
      <w:marTop w:val="0"/>
      <w:marBottom w:val="0"/>
      <w:divBdr>
        <w:top w:val="none" w:sz="0" w:space="0" w:color="auto"/>
        <w:left w:val="none" w:sz="0" w:space="0" w:color="auto"/>
        <w:bottom w:val="none" w:sz="0" w:space="0" w:color="auto"/>
        <w:right w:val="none" w:sz="0" w:space="0" w:color="auto"/>
      </w:divBdr>
    </w:div>
    <w:div w:id="2083217396">
      <w:bodyDiv w:val="1"/>
      <w:marLeft w:val="0"/>
      <w:marRight w:val="0"/>
      <w:marTop w:val="0"/>
      <w:marBottom w:val="0"/>
      <w:divBdr>
        <w:top w:val="none" w:sz="0" w:space="0" w:color="auto"/>
        <w:left w:val="none" w:sz="0" w:space="0" w:color="auto"/>
        <w:bottom w:val="none" w:sz="0" w:space="0" w:color="auto"/>
        <w:right w:val="none" w:sz="0" w:space="0" w:color="auto"/>
      </w:divBdr>
    </w:div>
    <w:div w:id="21036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mon.lally@local.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DD430-A208-42A4-8B25-D22FE9205C89}">
  <ds:schemaRefs>
    <ds:schemaRef ds:uri="http://schemas.microsoft.com/sharepoint/v3/contenttype/forms"/>
  </ds:schemaRefs>
</ds:datastoreItem>
</file>

<file path=customXml/itemProps2.xml><?xml version="1.0" encoding="utf-8"?>
<ds:datastoreItem xmlns:ds="http://schemas.openxmlformats.org/officeDocument/2006/customXml" ds:itemID="{34A6BEB9-3D00-4F5A-A630-DD1619BE0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D5395-DD0E-473F-BBC9-0D79255BA4B0}">
  <ds:schemaRefs>
    <ds:schemaRef ds:uri="c8febe6a-14d9-43ab-83c3-c48f478fa47c"/>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c8a0e75-f4bc-4eb4-8ed0-578eaea9e1c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075FE02-C389-4B41-9172-0EC12C9E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EDBB65A7</Template>
  <TotalTime>1</TotalTime>
  <Pages>2</Pages>
  <Words>764</Words>
  <Characters>4359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EEHT Chairs Report June 2015</vt:lpstr>
    </vt:vector>
  </TitlesOfParts>
  <Company>LGA</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EEHT Chairs Report June 2015</dc:title>
  <dc:creator>Joseph Cormack</dc:creator>
  <cp:keywords>Council meetings;Government, politics and public administration; Local government; Decision making; Council meetings;</cp:keywords>
  <cp:lastModifiedBy>Gareth Greatrex</cp:lastModifiedBy>
  <cp:revision>2</cp:revision>
  <cp:lastPrinted>2014-10-13T16:12:00Z</cp:lastPrinted>
  <dcterms:created xsi:type="dcterms:W3CDTF">2016-05-27T12:38:00Z</dcterms:created>
  <dcterms:modified xsi:type="dcterms:W3CDTF">2016-05-27T12:38:00Z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FM</vt:lpwstr>
  </property>
  <property fmtid="{D5CDD505-2E9C-101B-9397-08002B2CF9AE}" pid="5" name="DC.creator">
    <vt:lpwstr>GSS1\frances.marshall</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2015-01-08T00:00:00Z</vt:lpwstr>
  </property>
  <property fmtid="{D5CDD505-2E9C-101B-9397-08002B2CF9AE}" pid="10" name="e-GMS.subject.keyword">
    <vt:lpwstr>Economy, Environment, Housing and Transport Board,</vt:lpwstr>
  </property>
  <property fmtid="{D5CDD505-2E9C-101B-9397-08002B2CF9AE}" pid="11" name="Date">
    <vt:lpwstr>2015-01-08T00:00:00Z</vt:lpwstr>
  </property>
  <property fmtid="{D5CDD505-2E9C-101B-9397-08002B2CF9AE}" pid="12" name="ContentTypeId">
    <vt:lpwstr>0x0101000F4EAB03B2E8D04DBFAEDF240153C527</vt:lpwstr>
  </property>
  <property fmtid="{D5CDD505-2E9C-101B-9397-08002B2CF9AE}" pid="13" name="Title">
    <vt:lpwstr>EEHT Chairs Report June 2015</vt:lpwstr>
  </property>
  <property fmtid="{D5CDD505-2E9C-101B-9397-08002B2CF9AE}" pid="14" name="Keywords">
    <vt:lpwstr>Council meetings;Government, politics and public administration; Local government; Decision making; Council meetings;</vt:lpwstr>
  </property>
  <property fmtid="{D5CDD505-2E9C-101B-9397-08002B2CF9AE}" pid="15" name="Author">
    <vt:lpwstr>Your council</vt:lpwstr>
  </property>
</Properties>
</file>